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0"/>
        <w:gridCol w:w="5246"/>
        <w:gridCol w:w="160"/>
      </w:tblGrid>
      <w:tr>
        <w:trPr>
          <w:trHeight w:val="450"/>
        </w:trPr>
        <w:tc>
          <w:tcPr>
            <w:tcW w:w="10623" w:type="dxa"/>
            <w:gridSpan w:val="3"/>
            <w:vMerge w:val="restart"/>
            <w:shd w:val="clear" w:color="0563C1" w:fill="2F5597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  <w:tc>
          <w:tcPr>
            <w:tcW w:w="159" w:type="dxa"/>
          </w:tcPr>
          <w:p>
            <w:pPr>
              <w:widowControl w:val="0"/>
            </w:pPr>
          </w:p>
        </w:tc>
      </w:tr>
      <w:tr>
        <w:trPr>
          <w:trHeight w:val="450"/>
        </w:trPr>
        <w:tc>
          <w:tcPr>
            <w:tcW w:w="10623" w:type="dxa"/>
            <w:gridSpan w:val="3"/>
            <w:vMerge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59" w:type="dxa"/>
            <w:shd w:val="clear" w:color="auto" w:fill="auto"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6" w:type="dxa"/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375"/>
        </w:trPr>
        <w:tc>
          <w:tcPr>
            <w:tcW w:w="10623" w:type="dxa"/>
            <w:gridSpan w:val="3"/>
            <w:vMerge w:val="restart"/>
            <w:shd w:val="clear" w:color="auto" w:fill="auto"/>
            <w:vAlign w:val="bottom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375"/>
        </w:trPr>
        <w:tc>
          <w:tcPr>
            <w:tcW w:w="10623" w:type="dxa"/>
            <w:gridSpan w:val="3"/>
            <w:vMerge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59" w:type="dxa"/>
            <w:shd w:val="clear" w:color="auto" w:fill="auto"/>
            <w:vAlign w:val="bottom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>
        <w:trPr>
          <w:trHeight w:val="90"/>
        </w:trPr>
        <w:tc>
          <w:tcPr>
            <w:tcW w:w="567" w:type="dxa"/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6" w:type="dxa"/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345"/>
        </w:trPr>
        <w:tc>
          <w:tcPr>
            <w:tcW w:w="567" w:type="dxa"/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0" w:type="dxa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: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</w:p>
        </w:tc>
        <w:tc>
          <w:tcPr>
            <w:tcW w:w="5246" w:type="dxa"/>
            <w:tcBorders>
              <w:top w:val="single" w:sz="8" w:space="0" w:color="2F5597"/>
              <w:right w:val="single" w:sz="8" w:space="0" w:color="2F5597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345"/>
        </w:trPr>
        <w:tc>
          <w:tcPr>
            <w:tcW w:w="567" w:type="dxa"/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0" w:type="dxa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bookmarkStart w:id="0" w:name="RANGE!C9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Kód VTC/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Code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output (RAOO):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bookmarkEnd w:id="0"/>
          </w:p>
        </w:tc>
        <w:tc>
          <w:tcPr>
            <w:tcW w:w="5246" w:type="dxa"/>
            <w:tcBorders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405"/>
        </w:trPr>
        <w:tc>
          <w:tcPr>
            <w:tcW w:w="567" w:type="dxa"/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0" w:type="dxa"/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6" w:type="dxa"/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510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person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24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Halušková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315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person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Eva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559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person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doc. PhDr. Mgr. PhD.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660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of the person in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https://www.portalvs.sk/regzam/?do=filterForm-submit&amp;name=Eva&amp;surname=Halu%C5%A1kov%C3%A1&amp;university=724000000&amp;sort=surname&amp;employment_state=yes&amp;filter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300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4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Sociálna práca I., II. a III.  </w:t>
            </w: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 I 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II.and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972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output </w:t>
              </w:r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br/>
              </w:r>
            </w:hyperlink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 možností (pozri Vysvetlivky k položke OCA6)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Choice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6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options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see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Explanations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OCA6). 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pStyle w:val="Normlny1"/>
              <w:widowControl w:val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 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 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510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BE5D6" w:fill="DAE3F3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660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</w:hyperlink>
            <w:r>
              <w:rPr>
                <w:rFonts w:eastAsia="Times New Roman" w:cs="Calibri"/>
                <w:i/>
                <w:iCs/>
                <w:sz w:val="16"/>
                <w:szCs w:val="16"/>
                <w:lang w:eastAsia="sk-SK"/>
              </w:rPr>
              <w:t>(ak je)</w:t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/ ID of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Central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Registry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Activity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(CRPA) or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Central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Registry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Activity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(CRAA) </w:t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5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ID: 133675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525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in CRPA or CRAA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6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hyperlink r:id="rId14">
              <w:r>
                <w:rPr>
                  <w:rStyle w:val="Internetovodkaz"/>
                  <w:sz w:val="16"/>
                  <w:szCs w:val="16"/>
                </w:rPr>
                <w:t>https://app.crepc.sk/?fn=detailBiblioFormChildIB4M7&amp;sid=769B6BB77E764C86F97D48591B&amp;seo=CREP%C4%8C-detail-%C4%8Cl%C3%A1nok</w:t>
              </w:r>
            </w:hyperlink>
          </w:p>
          <w:p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</w:p>
          <w:p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hyperlink r:id="rId15">
              <w:r>
                <w:rPr>
                  <w:rStyle w:val="Internetovodkaz"/>
                  <w:sz w:val="16"/>
                  <w:szCs w:val="16"/>
                </w:rPr>
                <w:t>https://app.crepc.sk/?fn=detailBiblioFormChildKDQNV&amp;sid=C253EDA87EE99634F6BFCCCA4E&amp;seo=CREP%C4%8C-detail-%C4%8Cl%C3%A1nok</w:t>
              </w:r>
            </w:hyperlink>
          </w:p>
          <w:p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</w:p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1065"/>
        </w:trPr>
        <w:tc>
          <w:tcPr>
            <w:tcW w:w="56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BE5D6" w:fill="DAE3F3"/>
            <w:textDirection w:val="btLr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7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1515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0" w:type="dxa"/>
            <w:tcBorders>
              <w:bottom w:val="single" w:sz="8" w:space="0" w:color="000000"/>
              <w:right w:val="single" w:sz="8" w:space="0" w:color="000000"/>
            </w:tcBorders>
            <w:shd w:val="clear" w:color="FBE5D6" w:fill="DAE3F3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rPr>
                <w:sz w:val="16"/>
                <w:szCs w:val="16"/>
              </w:rPr>
            </w:pPr>
          </w:p>
          <w:p>
            <w:pPr>
              <w:widowControl w:val="0"/>
              <w:jc w:val="both"/>
              <w:rPr>
                <w:sz w:val="16"/>
                <w:szCs w:val="16"/>
              </w:rPr>
            </w:pPr>
          </w:p>
          <w:p>
            <w:pPr>
              <w:widowControl w:val="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Paločková</w:t>
            </w:r>
            <w:proofErr w:type="spellEnd"/>
            <w:r>
              <w:rPr>
                <w:sz w:val="16"/>
                <w:szCs w:val="16"/>
              </w:rPr>
              <w:t xml:space="preserve">, Monika Chovancová, Stanislava </w:t>
            </w:r>
            <w:proofErr w:type="spellStart"/>
            <w:r>
              <w:rPr>
                <w:sz w:val="16"/>
                <w:szCs w:val="16"/>
              </w:rPr>
              <w:t>Sugarová</w:t>
            </w:r>
            <w:proofErr w:type="spellEnd"/>
            <w:r>
              <w:rPr>
                <w:sz w:val="16"/>
                <w:szCs w:val="16"/>
              </w:rPr>
              <w:t xml:space="preserve">, Daniela </w:t>
            </w:r>
            <w:proofErr w:type="spellStart"/>
            <w:r>
              <w:rPr>
                <w:sz w:val="16"/>
                <w:szCs w:val="16"/>
              </w:rPr>
              <w:t>Zdilova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EvaSasváry</w:t>
            </w:r>
            <w:proofErr w:type="spellEnd"/>
            <w:r>
              <w:rPr>
                <w:sz w:val="16"/>
                <w:szCs w:val="16"/>
              </w:rPr>
              <w:t xml:space="preserve">, Ferdinand </w:t>
            </w:r>
            <w:proofErr w:type="spellStart"/>
            <w:r>
              <w:rPr>
                <w:sz w:val="16"/>
                <w:szCs w:val="16"/>
              </w:rPr>
              <w:t>Sasváry</w:t>
            </w:r>
            <w:proofErr w:type="spellEnd"/>
            <w:r>
              <w:rPr>
                <w:sz w:val="16"/>
                <w:szCs w:val="16"/>
              </w:rPr>
              <w:t xml:space="preserve">, Mária </w:t>
            </w:r>
            <w:proofErr w:type="spellStart"/>
            <w:r>
              <w:rPr>
                <w:sz w:val="16"/>
                <w:szCs w:val="16"/>
              </w:rPr>
              <w:t>Barkasi</w:t>
            </w:r>
            <w:proofErr w:type="spellEnd"/>
            <w:r>
              <w:rPr>
                <w:sz w:val="16"/>
                <w:szCs w:val="16"/>
              </w:rPr>
              <w:t xml:space="preserve">, Daniela </w:t>
            </w:r>
            <w:proofErr w:type="spellStart"/>
            <w:r>
              <w:rPr>
                <w:sz w:val="16"/>
                <w:szCs w:val="16"/>
              </w:rPr>
              <w:t>Guľašová</w:t>
            </w:r>
            <w:proofErr w:type="spellEnd"/>
            <w:r>
              <w:rPr>
                <w:sz w:val="16"/>
                <w:szCs w:val="16"/>
              </w:rPr>
              <w:t xml:space="preserve">, Monika </w:t>
            </w:r>
            <w:proofErr w:type="spellStart"/>
            <w:r>
              <w:rPr>
                <w:sz w:val="16"/>
                <w:szCs w:val="16"/>
              </w:rPr>
              <w:t>Kmiť</w:t>
            </w:r>
            <w:proofErr w:type="spellEnd"/>
            <w:r>
              <w:rPr>
                <w:sz w:val="16"/>
                <w:szCs w:val="16"/>
              </w:rPr>
              <w:t xml:space="preserve">, Igor Oláh, Michal </w:t>
            </w:r>
            <w:proofErr w:type="spellStart"/>
            <w:r>
              <w:rPr>
                <w:sz w:val="16"/>
                <w:szCs w:val="16"/>
              </w:rPr>
              <w:t>Hochman</w:t>
            </w:r>
            <w:proofErr w:type="spellEnd"/>
            <w:r>
              <w:rPr>
                <w:sz w:val="16"/>
                <w:szCs w:val="16"/>
              </w:rPr>
              <w:t xml:space="preserve">, Rastislav Halušková, Eva </w:t>
            </w:r>
            <w:proofErr w:type="spellStart"/>
            <w:r>
              <w:rPr>
                <w:sz w:val="16"/>
                <w:szCs w:val="16"/>
              </w:rPr>
              <w:t>Partelová</w:t>
            </w:r>
            <w:proofErr w:type="spellEnd"/>
            <w:r>
              <w:rPr>
                <w:sz w:val="16"/>
                <w:szCs w:val="16"/>
              </w:rPr>
              <w:t xml:space="preserve">, Martina </w:t>
            </w:r>
            <w:proofErr w:type="spellStart"/>
            <w:r>
              <w:rPr>
                <w:sz w:val="16"/>
                <w:szCs w:val="16"/>
              </w:rPr>
              <w:t>Trichard</w:t>
            </w:r>
            <w:proofErr w:type="spellEnd"/>
            <w:r>
              <w:rPr>
                <w:sz w:val="16"/>
                <w:szCs w:val="16"/>
              </w:rPr>
              <w:t xml:space="preserve">, Emanuel: Covid-19 has </w:t>
            </w:r>
            <w:proofErr w:type="spellStart"/>
            <w:r>
              <w:rPr>
                <w:sz w:val="16"/>
                <w:szCs w:val="16"/>
              </w:rPr>
              <w:t>only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Temporarily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Interrupted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Social</w:t>
            </w:r>
            <w:proofErr w:type="spellEnd"/>
            <w:r>
              <w:rPr>
                <w:sz w:val="16"/>
                <w:szCs w:val="16"/>
              </w:rPr>
              <w:t xml:space="preserve"> and </w:t>
            </w:r>
            <w:proofErr w:type="spellStart"/>
            <w:r>
              <w:rPr>
                <w:sz w:val="16"/>
                <w:szCs w:val="16"/>
              </w:rPr>
              <w:t>Health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Services</w:t>
            </w:r>
            <w:proofErr w:type="spellEnd"/>
            <w:r>
              <w:rPr>
                <w:sz w:val="16"/>
                <w:szCs w:val="16"/>
              </w:rPr>
              <w:t xml:space="preserve"> in </w:t>
            </w:r>
            <w:proofErr w:type="spellStart"/>
            <w:r>
              <w:rPr>
                <w:sz w:val="16"/>
                <w:szCs w:val="16"/>
              </w:rPr>
              <w:t>rural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Albania</w:t>
            </w:r>
            <w:proofErr w:type="spellEnd"/>
            <w:r>
              <w:rPr>
                <w:sz w:val="16"/>
                <w:szCs w:val="16"/>
              </w:rPr>
              <w:t xml:space="preserve"> in 2020</w:t>
            </w:r>
          </w:p>
          <w:p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Názov zdroja </w:t>
            </w:r>
            <w:proofErr w:type="spellStart"/>
            <w:r>
              <w:rPr>
                <w:sz w:val="16"/>
                <w:szCs w:val="16"/>
              </w:rPr>
              <w:t>Clinical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Social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Work</w:t>
            </w:r>
            <w:proofErr w:type="spellEnd"/>
            <w:r>
              <w:rPr>
                <w:sz w:val="16"/>
                <w:szCs w:val="16"/>
              </w:rPr>
              <w:t xml:space="preserve"> and </w:t>
            </w:r>
            <w:proofErr w:type="spellStart"/>
            <w:r>
              <w:rPr>
                <w:sz w:val="16"/>
                <w:szCs w:val="16"/>
              </w:rPr>
              <w:t>Health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Intervention</w:t>
            </w:r>
            <w:proofErr w:type="spellEnd"/>
            <w:r>
              <w:rPr>
                <w:sz w:val="16"/>
                <w:szCs w:val="16"/>
              </w:rPr>
              <w:t xml:space="preserve"> (textový dokument (print)) (elektronický dokument)Rok, ročník, číslo2021, Roč. 12, č. 1 Rozsah s. 17-19</w:t>
            </w:r>
          </w:p>
          <w:p>
            <w:pPr>
              <w:widowControl w:val="0"/>
              <w:rPr>
                <w:sz w:val="16"/>
                <w:szCs w:val="16"/>
              </w:rPr>
            </w:pPr>
          </w:p>
          <w:p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1290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0" w:type="dxa"/>
            <w:tcBorders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Expl.OCA12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in CRPA or CRAA)</w:t>
              </w:r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br/>
              </w:r>
            </w:hyperlink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67 možností (pozri Vysvetlivky k položke OCA12)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Choice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67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options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see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Explanations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OCA12). 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pStyle w:val="Textpoznmkypodiarou"/>
              <w:widowControl w:val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1110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0" w:type="dxa"/>
            <w:tcBorders>
              <w:bottom w:val="single" w:sz="8" w:space="0" w:color="000000"/>
              <w:right w:val="single" w:sz="8" w:space="0" w:color="000000"/>
            </w:tcBorders>
            <w:shd w:val="clear" w:color="FBE5D6" w:fill="DAE3F3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765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0" w:type="dxa"/>
            <w:tcBorders>
              <w:bottom w:val="single" w:sz="8" w:space="0" w:color="000000"/>
              <w:right w:val="single" w:sz="8" w:space="0" w:color="000000"/>
            </w:tcBorders>
            <w:shd w:val="clear" w:color="FBE5D6" w:fill="DAE3F3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Vklad autora /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8,333 %</w:t>
            </w:r>
          </w:p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Vklad autora /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5,555%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1405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0" w:type="dxa"/>
            <w:tcBorders>
              <w:bottom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. 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8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SlovakRozsah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do 200 slov v anglickom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second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wave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Covid-19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Balkan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least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affected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those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having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islands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naturally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protected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quarantine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Greece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Croatia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Cyprus, Malta), as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less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tourism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Spring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Montenegro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Bulgaria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Therefore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overwhelmed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by Covid-19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infected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continue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normal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outpatient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inpatient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bases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pilot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population-based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study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shows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low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temporary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break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just 1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month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wave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April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2020.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Senior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major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issues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highly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developed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assessing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late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Vienna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Bratislava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second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waves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COVID-19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suggest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contrast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adolescents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suffer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significantly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more late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having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coronavirus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acute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915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000000" w:fill="D9E1F2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eastAsia="Times New Roman" w:cs="Calibri"/>
                  <w:sz w:val="16"/>
                  <w:szCs w:val="16"/>
                  <w:lang w:eastAsia="sk-SK"/>
                </w:rPr>
                <w:t xml:space="preserve"> output in English </w:t>
              </w:r>
            </w:hyperlink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 xml:space="preserve"> 9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second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wave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 of Covid-19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Balkan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least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affected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those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having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islands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 as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naturally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protected quarantine environment (Greece, Croatia, Cyprus, Malta), as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less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tourism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 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Spring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as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Montenegro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,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, and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Bulgaria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Therefore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overwhelmed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by Covid-19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infected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 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continue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normal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outpatient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and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inpatient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bases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pilot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population-based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study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rural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Albania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shows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low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temporary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break of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and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just 1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month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wave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April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2020.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212529"/>
                <w:shd w:val="clear" w:color="auto" w:fill="FFFFFF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Senior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major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issues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highly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developed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assessing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late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Vienna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Bratislava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second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waves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COVID-19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suggest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contrast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adolescents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suffer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significantly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more late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psychosocial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having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coronavirus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acute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disease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810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FBE5D6" w:fill="DAE3F3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Trebuchet MS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1170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FBE5D6" w:fill="DAE3F3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widowControl w:val="0"/>
              <w:spacing w:after="0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  <w:t>Význam pre štátnu správu, samosprávu, zariadenia sociálnych služieb, úrady práce sociálnych vecí a rodiny, sociálne poisťovne, zamestnávateľov, absolventov a aj pre pracoviska praxe.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Importance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state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administration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self-government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offices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labour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affairs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insurance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companies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employers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graduates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workplaces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>
        <w:trPr>
          <w:trHeight w:val="1290"/>
        </w:trPr>
        <w:tc>
          <w:tcPr>
            <w:tcW w:w="5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FBE5D6" w:fill="DAE3F3"/>
            <w:vAlign w:val="center"/>
          </w:tcPr>
          <w:p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rPr>
                <w:rFonts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  <w:t>Príspevok poukazuje na sociálnu udalosť, ako objektívnu skutočnosť, s ktorou právo spája ako dôsledok vznik, zmeny alebo skončenie sociálnozabezpečovacích vzťahov počas prvej a druhej vlny pandémie Covid-19. /</w:t>
            </w:r>
            <w: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article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points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to a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event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, as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an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objective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fact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with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which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law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connects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as a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consequence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creation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, change or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termination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security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relations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during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first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second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waves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Covid-19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sk-SK"/>
              </w:rPr>
              <w:t>pandemic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sk-SK"/>
              </w:rPr>
              <w:t>.</w:t>
            </w:r>
            <w:bookmarkStart w:id="1" w:name="_GoBack"/>
            <w:bookmarkEnd w:id="1"/>
          </w:p>
        </w:tc>
        <w:tc>
          <w:tcPr>
            <w:tcW w:w="159" w:type="dxa"/>
            <w:vAlign w:val="center"/>
          </w:tcPr>
          <w:p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bookmarkStart w:id="2" w:name="_Hlk110257706"/>
            <w:bookmarkEnd w:id="2"/>
          </w:p>
        </w:tc>
      </w:tr>
    </w:tbl>
    <w:p/>
    <w:p/>
    <w:sectPr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14042-1715-48E1-8BAE-E105D8C82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sk-SK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qFormat/>
    <w:rPr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qFormat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Internetovodkaz">
    <w:name w:val="Internetový odkaz"/>
    <w:basedOn w:val="Predvolenpsmoodseku"/>
    <w:uiPriority w:val="99"/>
    <w:unhideWhenUsed/>
    <w:rPr>
      <w:color w:val="0000FF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avtveninternetovodkaz">
    <w:name w:val="Navštívený internetový odkaz"/>
    <w:rPr>
      <w:color w:val="800000"/>
      <w:u w:val="single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styleId="Textpoznmkypodiarou">
    <w:name w:val="footnote text"/>
    <w:basedOn w:val="Normlny"/>
    <w:link w:val="TextpoznmkypodiarouChar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customStyle="1" w:styleId="y2iqfc">
    <w:name w:val="y2iqfc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1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/%C5%A0ablony%20akredit%C3%A1cia/4_VTC.xlsx" TargetMode="External"/><Relationship Id="rId13" Type="http://schemas.openxmlformats.org/officeDocument/2006/relationships/hyperlink" Target="file:///E:/%C5%A0ablony%20akredit%C3%A1cia/4_VTC.xlsx" TargetMode="External"/><Relationship Id="rId18" Type="http://schemas.openxmlformats.org/officeDocument/2006/relationships/hyperlink" Target="file:///E:/%C5%A0ablony%20akredit%C3%A1cia/4_VTC.xlsx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E:/%C5%A0ablony%20akredit%C3%A1cia/4_VTC.xlsx" TargetMode="External"/><Relationship Id="rId12" Type="http://schemas.openxmlformats.org/officeDocument/2006/relationships/hyperlink" Target="file:///E:/%C5%A0ablony%20akredit%C3%A1cia/4_VTC.xlsx" TargetMode="External"/><Relationship Id="rId17" Type="http://schemas.openxmlformats.org/officeDocument/2006/relationships/hyperlink" Target="file:///E:/%C5%A0ablony%20akredit%C3%A1cia/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/%C5%A0ablony%20akredit%C3%A1cia/4_VTC.xls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E:/%C5%A0ablony%20akredit%C3%A1cia/4_VTC.xlsx" TargetMode="External"/><Relationship Id="rId11" Type="http://schemas.openxmlformats.org/officeDocument/2006/relationships/hyperlink" Target="file:///E:/%C5%A0ablony%20akredit%C3%A1cia/4_VTC.xlsx" TargetMode="External"/><Relationship Id="rId5" Type="http://schemas.openxmlformats.org/officeDocument/2006/relationships/hyperlink" Target="file:///E:/%C5%A0ablony%20akredit%C3%A1cia/4_VTC.xlsx" TargetMode="External"/><Relationship Id="rId15" Type="http://schemas.openxmlformats.org/officeDocument/2006/relationships/hyperlink" Target="https://app.crepc.sk/?fn=detailBiblioFormChildKDQNV&amp;sid=C253EDA87EE99634F6BFCCCA4E&amp;seo=CREP&#268;-detail-&#268;l&#225;nok" TargetMode="External"/><Relationship Id="rId10" Type="http://schemas.openxmlformats.org/officeDocument/2006/relationships/hyperlink" Target="file:///E:/%C5%A0ablony%20akredit%C3%A1cia/4_VTC.xlsx" TargetMode="External"/><Relationship Id="rId19" Type="http://schemas.openxmlformats.org/officeDocument/2006/relationships/hyperlink" Target="file:///E:/%C5%A0ablony%20akredit%C3%A1cia/4_VTC.xlsx" TargetMode="External"/><Relationship Id="rId4" Type="http://schemas.openxmlformats.org/officeDocument/2006/relationships/hyperlink" Target="file:///E:/%C5%A0ablony%20akredit%C3%A1cia/4_VTC.xlsx" TargetMode="External"/><Relationship Id="rId9" Type="http://schemas.openxmlformats.org/officeDocument/2006/relationships/hyperlink" Target="file:///E:/%C5%A0ablony%20akredit%C3%A1cia/4_VTC.xlsx" TargetMode="External"/><Relationship Id="rId14" Type="http://schemas.openxmlformats.org/officeDocument/2006/relationships/hyperlink" Target="https://app.crepc.sk/?fn=detailBiblioFormChildIB4M7&amp;sid=769B6BB77E764C86F97D48591B&amp;seo=CREP&#268;-detail-&#268;l&#225;no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dc:description/>
  <cp:lastModifiedBy>Hardy Mária</cp:lastModifiedBy>
  <cp:revision>2</cp:revision>
  <dcterms:created xsi:type="dcterms:W3CDTF">2024-02-13T10:17:00Z</dcterms:created>
  <dcterms:modified xsi:type="dcterms:W3CDTF">2024-02-13T10:17:00Z</dcterms:modified>
  <dc:language>sk-SK</dc:language>
</cp:coreProperties>
</file>